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99" w:rsidRPr="00951DD3" w:rsidRDefault="004F2E99" w:rsidP="00ED7307">
      <w:pPr>
        <w:pStyle w:val="Cmsor1"/>
      </w:pPr>
      <w:r>
        <w:t>Cím</w:t>
      </w:r>
      <w:r w:rsidRPr="00951DD3">
        <w:t xml:space="preserve">  Számítógépes intelligencia alkalmazása a szervezeti folyamatok támogatására (Szemantikus Web és szemantikus SOA)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Folyamat- és dokumentum-menedzsment,Üzleti intelligencia - intelligens rendszerek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számítógépes intelligencia alkalmazása a szervezet egészét átfogó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és informatikai architektúra akadálymentes működtetése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érdekében, elsősorban a SOA szoftver architektúrák tekintetében.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Szervezeti és informatikai architektúrák áttekintés: SOA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(Service Oriented Architecture) stb.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Ontológiák és szemantikus hálók technológiák alkalmazási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lehetőségei szervezeti környezetben, szervezeti célok érdekében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(vállalati, közszolgálati stb.)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A szervezeti munkafolyamatok (Workflow) és a munkafeladatok,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 szervezeti és informatikai folyamatai (process) közötti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kommunikáció akadály- és hézagmentességének minél magasabb fokú 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megvalósítása érdekében.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SOA lehetőségei a szervezeti folyamatok kiszolgálására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Szervezeti/ Vállalati ontológiák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 xml:space="preserve">Szemantikus hálók az ismeret intenzív munkafolyamatok és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szervezeti folyamatok összehangolása, integrálása érdekében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d.</w:t>
      </w:r>
      <w:r w:rsidRPr="00951DD3">
        <w:rPr>
          <w:rFonts w:ascii="Times New Roman" w:hAnsi="Times New Roman" w:cs="Times New Roman"/>
        </w:rPr>
        <w:tab/>
        <w:t xml:space="preserve">Ismeret-alapú rendszerek a munkafolyamatok és szervezeti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folyamatok esetében a kommunikáció és az integráció támogatására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e.</w:t>
      </w:r>
      <w:r w:rsidRPr="00951DD3">
        <w:rPr>
          <w:rFonts w:ascii="Times New Roman" w:hAnsi="Times New Roman" w:cs="Times New Roman"/>
        </w:rPr>
        <w:tab/>
        <w:t xml:space="preserve">Ágens alapú megoldások és megközelítések a munkafolyamatok és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szervezeti folyamatok esetében a kommunikáció és az integráció támogatására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megoldások, informatikai megközelítések, felvázolása,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kísérleti/ prototípus rendszerek tervének kialakítása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AnHai Doan , Alon Halevy, Natasha Noy,  Semantic Integration Workshop (SI-2003), , Second International Semantic Web Conference, October 20, 2003, Sanibel Island, Florida, USA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G. Vetere, Models for semantic interoperability in service oriented architectures, IBM SYSTEMS JOURNAL, VOL 44, NO 4, 2005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José M. Vidal, Multiagent Systems</w:t>
      </w:r>
      <w:r>
        <w:rPr>
          <w:rFonts w:ascii="Times New Roman" w:hAnsi="Times New Roman" w:cs="Times New Roman"/>
        </w:rPr>
        <w:t xml:space="preserve"> with Workflows JANUARY </w:t>
      </w:r>
      <w:r w:rsidRPr="00951DD3">
        <w:rPr>
          <w:rFonts w:ascii="Times New Roman" w:hAnsi="Times New Roman" w:cs="Times New Roman"/>
        </w:rPr>
        <w:t xml:space="preserve">FEBRUARY 2004 Published by the IEEE Computer Society 1089-7801/04/$20.00 © 2004 IEEE IEEE INTERNET COMPUTING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Döntéstámogató rendszerek (Decision Support Systems), (szerkesztő: Sántáné-Tóth, Edit) Panem Gazdaságinformatika sorozat, Panem Kiadó, Budapest, ISBN: 978-9-635454-82-2, 2007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>Futó I. (szerk.), „Mesterséges intelligencia”, AULA Kiadó, 1999, 986 old.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Molnár Bálint, ’Ismeretszerzés’, in: Futó Iván (szerk.) „ Mesterséges Intelligencia”, Aula Kiadó, 1999, pp 665-708. </w:t>
      </w:r>
      <w:hyperlink r:id="rId5" w:history="1">
        <w:r w:rsidRPr="00527B18">
          <w:rPr>
            <w:rStyle w:val="Hiperhivatkozs"/>
            <w:rFonts w:ascii="Times New Roman" w:hAnsi="Times New Roman"/>
          </w:rPr>
          <w:t>http://www.mtaita.hu/KADSbev9_1.PDF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, </w:t>
      </w:r>
      <w:hyperlink r:id="rId6" w:history="1">
        <w:r w:rsidRPr="00527B18">
          <w:rPr>
            <w:rStyle w:val="Hiperhivatkozs"/>
            <w:rFonts w:ascii="Times New Roman" w:hAnsi="Times New Roman"/>
          </w:rPr>
          <w:t>http://www.mtaita.hu/CommonKADS.PDF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>Russel, S. J., Norvig, P., „Mesterséges intelligencia – modern megközelítésben”, Panem – Prentice Hall, Budapest, 2000, 1093 old. (Az eredeti mű: Artificial Intelligence. A Modern Approach” Prentice Hall, Inc., 1995.)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>Sántáné-Tóth E., „Tudásalapú technológia, szakértő rendszerek Javított és módosított kiadás”, Dunaújvárosi Főiskola Kiadói Hivatala, Dunaújváros, 2000, 301 old.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>M.L. Ginsberg, „Essentials of Artificial Intelligence”. Morgan Kaufmann Publishers, San Mateo, California, 1993.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>Douglas R. Hofstadter, „Gödel, Escher, Bach: Egybefont gondolatok birodalma, metaforikus fúga tudatra és gépekre, Lewis Carrol szellemében”, Typotex kiadó, Budapest, 2005.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Mesterséges intelligencia alapjainak kutatása, cikkek: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http://spock.extropy.org/ideas/resources/artific-papers.html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</w:r>
      <w:hyperlink r:id="rId8" w:history="1">
        <w:r w:rsidRPr="00527B18">
          <w:rPr>
            <w:rStyle w:val="Hiperhivatkozs"/>
            <w:rFonts w:ascii="Times New Roman" w:hAnsi="Times New Roman"/>
          </w:rPr>
          <w:t>http://www.research.ibm.com/journal/sj/473/strosnider.html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http://researchweb.watson.ibm.com/journal/sj/444/vetere.pdf</w:t>
        </w:r>
      </w:hyperlink>
      <w:r>
        <w:rPr>
          <w:rFonts w:ascii="Times New Roman" w:hAnsi="Times New Roman" w:cs="Times New Roman"/>
        </w:rPr>
        <w:t xml:space="preserve"> </w:t>
      </w: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</w:p>
    <w:p w:rsidR="004F2E99" w:rsidRPr="00951DD3" w:rsidRDefault="004F2E99" w:rsidP="00EF04F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4F2E99" w:rsidRDefault="004F2E99" w:rsidP="00EF04F7">
      <w:pPr>
        <w:sectPr w:rsidR="004F2E99" w:rsidSect="00EF04F7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4C0A3E" w:rsidRDefault="004C0A3E"/>
    <w:sectPr w:rsidR="004C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4C0A3E"/>
    <w:rsid w:val="004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922792-77B4-4E9F-A83E-2D5E0186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F2E99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F2E99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4F2E9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4F2E99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E99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F2E99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F2E99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F2E99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4F2E99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4F2E99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4F2E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ibm.com/journal/sj/473/strosni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ck.extropy.org/ideas/resources/artific-pap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ita.hu/CommonKAD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taita.hu/KADSbev9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web.watson.ibm.com/journal/sj/444/veter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