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865D" w14:textId="77777777" w:rsidR="0042600D" w:rsidRDefault="0042600D" w:rsidP="0042600D">
      <w:pPr>
        <w:pStyle w:val="Cmsor3"/>
        <w:spacing w:before="360" w:after="200"/>
      </w:pPr>
      <w:bookmarkStart w:id="0" w:name="_Toc504738824"/>
      <w:bookmarkStart w:id="1" w:name="_Toc505675558"/>
      <w:bookmarkStart w:id="2" w:name="_Toc506033514"/>
      <w:r>
        <w:t>8.1.4. A tranzakciók alaptevékenységei</w:t>
      </w:r>
      <w:bookmarkEnd w:id="0"/>
      <w:bookmarkEnd w:id="1"/>
      <w:bookmarkEnd w:id="2"/>
    </w:p>
    <w:p w14:paraId="40BE6B7C" w14:textId="77777777" w:rsidR="0042600D" w:rsidRDefault="0042600D" w:rsidP="0042600D">
      <w:pPr>
        <w:ind w:firstLine="0"/>
      </w:pPr>
      <w:r>
        <w:t>Vizsgáljuk meg részletesen a tranzakció és adatbázis kölcsönhatását. A kölcsönhatá</w:t>
      </w:r>
      <w:r>
        <w:t>s</w:t>
      </w:r>
      <w:r>
        <w:t>oknak három fontos színhelye van:</w:t>
      </w:r>
    </w:p>
    <w:p w14:paraId="642E5BBF" w14:textId="77777777" w:rsidR="0042600D" w:rsidRDefault="0042600D" w:rsidP="0042600D">
      <w:pPr>
        <w:pStyle w:val="fsor"/>
        <w:spacing w:before="200"/>
      </w:pPr>
      <w:r>
        <w:t>1.</w:t>
      </w:r>
      <w:r>
        <w:tab/>
        <w:t>Az adatbázis elemeit tartalmazó lemezblokkok területe.</w:t>
      </w:r>
    </w:p>
    <w:p w14:paraId="61829736" w14:textId="77777777" w:rsidR="0042600D" w:rsidRDefault="0042600D" w:rsidP="0042600D">
      <w:pPr>
        <w:pStyle w:val="fsor"/>
        <w:spacing w:before="0"/>
      </w:pPr>
      <w:r>
        <w:t>2.</w:t>
      </w:r>
      <w:r>
        <w:tab/>
        <w:t>A pufferkezelő által használt virtuális vagy valós mem</w:t>
      </w:r>
      <w:r>
        <w:t>ó</w:t>
      </w:r>
      <w:r>
        <w:t>riaterület.</w:t>
      </w:r>
    </w:p>
    <w:p w14:paraId="69EFD0E0" w14:textId="77777777" w:rsidR="0042600D" w:rsidRDefault="0042600D" w:rsidP="0042600D">
      <w:pPr>
        <w:pStyle w:val="fsor"/>
        <w:spacing w:before="0"/>
      </w:pPr>
      <w:r>
        <w:t>3.</w:t>
      </w:r>
      <w:r>
        <w:tab/>
        <w:t>A tranzakció memóriaterülete.</w:t>
      </w:r>
    </w:p>
    <w:p w14:paraId="302D0E8C" w14:textId="77777777" w:rsidR="0042600D" w:rsidRDefault="0042600D" w:rsidP="0042600D">
      <w:pPr>
        <w:spacing w:before="200"/>
      </w:pPr>
      <w:r>
        <w:t>Ahhoz, hogy a tranzakció egy adatbáziselemet b</w:t>
      </w:r>
      <w:r w:rsidR="00156A58">
        <w:t xml:space="preserve">eolvashasson, azt előbb </w:t>
      </w:r>
      <w:proofErr w:type="spellStart"/>
      <w:r w:rsidR="00156A58">
        <w:t>memória</w:t>
      </w:r>
      <w:r>
        <w:t>puffer</w:t>
      </w:r>
      <w:proofErr w:type="spellEnd"/>
      <w:r>
        <w:t>(</w:t>
      </w:r>
      <w:proofErr w:type="spellStart"/>
      <w:r>
        <w:t>ek</w:t>
      </w:r>
      <w:proofErr w:type="spellEnd"/>
      <w:r>
        <w:t>)be kell behozni, ha még nincs ott. Ezt követően tudja a puffer(</w:t>
      </w:r>
      <w:proofErr w:type="spellStart"/>
      <w:r>
        <w:t>ek</w:t>
      </w:r>
      <w:proofErr w:type="spellEnd"/>
      <w:r>
        <w:t>) tartalmát a tranzakció saját memóriaterületére beolvasni. Az adatbáziselem új értékének kiírása fordított sorrendben történik. Az új értéket a tranzakció alakítja ki saját memóriaterületén, majd ez az új érték másolódik át a megfelelő puffer(</w:t>
      </w:r>
      <w:proofErr w:type="spellStart"/>
      <w:r>
        <w:t>ek</w:t>
      </w:r>
      <w:proofErr w:type="spellEnd"/>
      <w:r>
        <w:t>)be.</w:t>
      </w:r>
    </w:p>
    <w:p w14:paraId="4B93DD49" w14:textId="77777777" w:rsidR="0042600D" w:rsidRDefault="0042600D" w:rsidP="0042600D">
      <w:r>
        <w:t>A pufferek tartalmát vagy azonnal lemezre lehet írni, vagy nem; az erre vonatkozó döntés általában a pufferkezelő joga. Amint már korábban láthattuk, a naplózó rendszer használatának egyik legfőbb lépése a rendszerhibákból való helyreállíthatóság biztosítása érdekében a pufferkezelő ösztönzése a pufferbeli blokkok megfelelő időpontban történő lemezre írására. Ugyanakkor a lemez I/</w:t>
      </w:r>
      <w:proofErr w:type="spellStart"/>
      <w:r>
        <w:t>O-műveletek</w:t>
      </w:r>
      <w:proofErr w:type="spellEnd"/>
      <w:r>
        <w:t xml:space="preserve"> számának csökkentésére az adatbázisrendszerek megengedik/megengedhetik a módosításoknak csak az illékony memóriában történő végrehajtását, legalábbis bizonyos ideig és arra megfelelő feltételek teljesül</w:t>
      </w:r>
      <w:r>
        <w:t>é</w:t>
      </w:r>
      <w:r>
        <w:t>se esetén.</w:t>
      </w:r>
    </w:p>
    <w:p w14:paraId="029D1DDA" w14:textId="77777777" w:rsidR="0042600D" w:rsidRDefault="0042600D" w:rsidP="0042600D">
      <w:pPr>
        <w:rPr>
          <w:spacing w:val="-4"/>
        </w:rPr>
      </w:pPr>
      <w:r>
        <w:rPr>
          <w:spacing w:val="-4"/>
        </w:rPr>
        <w:t>A naplózási algoritmusoknak és más tranzakció</w:t>
      </w:r>
      <w:r w:rsidR="00156A58">
        <w:rPr>
          <w:spacing w:val="-4"/>
        </w:rPr>
        <w:t>-</w:t>
      </w:r>
      <w:r>
        <w:rPr>
          <w:spacing w:val="-4"/>
        </w:rPr>
        <w:t>kezelő algoritmusoknak részletes tanulmányozása során megfelelő jelölésekre lesz szükségünk, melyekkel a különböző területek közötti adatmozgást tudjuk leírni. A követk</w:t>
      </w:r>
      <w:r w:rsidR="00156A58">
        <w:rPr>
          <w:spacing w:val="-4"/>
        </w:rPr>
        <w:t>ező alapműveleteket fogjuk hasz</w:t>
      </w:r>
      <w:r>
        <w:rPr>
          <w:spacing w:val="-4"/>
        </w:rPr>
        <w:t>nálni:</w:t>
      </w:r>
    </w:p>
    <w:p w14:paraId="608EEFFD" w14:textId="77777777" w:rsidR="0042600D" w:rsidRDefault="0042600D" w:rsidP="0042600D">
      <w:pPr>
        <w:pStyle w:val="fsor"/>
        <w:spacing w:before="200"/>
        <w:rPr>
          <w:spacing w:val="-4"/>
        </w:rPr>
      </w:pPr>
      <w:r>
        <w:rPr>
          <w:spacing w:val="-4"/>
        </w:rPr>
        <w:t>1.</w:t>
      </w:r>
      <w:r>
        <w:rPr>
          <w:spacing w:val="-4"/>
        </w:rPr>
        <w:tab/>
      </w:r>
      <w:r w:rsidRPr="00801A56">
        <w:rPr>
          <w:rFonts w:ascii="LetterGotLEE" w:hAnsi="LetterGotLEE"/>
          <w:spacing w:val="-4"/>
          <w:sz w:val="18"/>
          <w:highlight w:val="yellow"/>
        </w:rPr>
        <w:t>INPUT(X)</w:t>
      </w:r>
      <w:r>
        <w:rPr>
          <w:spacing w:val="-4"/>
        </w:rPr>
        <w:t xml:space="preserve">: Az </w:t>
      </w:r>
      <w:r>
        <w:rPr>
          <w:i/>
          <w:spacing w:val="-4"/>
        </w:rPr>
        <w:t>X</w:t>
      </w:r>
      <w:r>
        <w:rPr>
          <w:spacing w:val="-4"/>
        </w:rPr>
        <w:t xml:space="preserve"> adatbáziselemet tartalmazó lemezblokk másolása a memória</w:t>
      </w:r>
      <w:r w:rsidR="00156A58">
        <w:rPr>
          <w:spacing w:val="-4"/>
        </w:rPr>
        <w:t xml:space="preserve"> </w:t>
      </w:r>
      <w:r>
        <w:rPr>
          <w:spacing w:val="-4"/>
        </w:rPr>
        <w:t>pufferbe.</w:t>
      </w:r>
    </w:p>
    <w:p w14:paraId="669994CD" w14:textId="77777777" w:rsidR="0042600D" w:rsidRDefault="0042600D" w:rsidP="0042600D">
      <w:pPr>
        <w:pStyle w:val="fsor"/>
        <w:spacing w:before="0"/>
        <w:rPr>
          <w:spacing w:val="-2"/>
        </w:rPr>
      </w:pPr>
      <w:r>
        <w:rPr>
          <w:spacing w:val="-2"/>
        </w:rPr>
        <w:t>2.</w:t>
      </w:r>
      <w:r>
        <w:rPr>
          <w:rFonts w:ascii="LetterGotLEE" w:hAnsi="LetterGotLEE"/>
          <w:spacing w:val="-2"/>
          <w:sz w:val="18"/>
        </w:rPr>
        <w:tab/>
      </w:r>
      <w:r w:rsidRPr="00801A56">
        <w:rPr>
          <w:rFonts w:ascii="LetterGotLEE" w:hAnsi="LetterGotLEE"/>
          <w:spacing w:val="-2"/>
          <w:sz w:val="18"/>
          <w:highlight w:val="yellow"/>
        </w:rPr>
        <w:t>READ(X,t)</w:t>
      </w:r>
      <w:r>
        <w:rPr>
          <w:spacing w:val="-2"/>
        </w:rPr>
        <w:t xml:space="preserve">: Az </w:t>
      </w:r>
      <w:r>
        <w:rPr>
          <w:i/>
          <w:spacing w:val="-2"/>
        </w:rPr>
        <w:t>X</w:t>
      </w:r>
      <w:r>
        <w:rPr>
          <w:spacing w:val="-2"/>
        </w:rPr>
        <w:t xml:space="preserve"> adatbáziselem bemásolása a tranzakció </w:t>
      </w:r>
      <w:r>
        <w:rPr>
          <w:i/>
          <w:spacing w:val="-2"/>
        </w:rPr>
        <w:t>t</w:t>
      </w:r>
      <w:r>
        <w:rPr>
          <w:spacing w:val="-2"/>
        </w:rPr>
        <w:t xml:space="preserve"> lokális változójába. Ré</w:t>
      </w:r>
      <w:r w:rsidR="00156A58">
        <w:rPr>
          <w:spacing w:val="-2"/>
        </w:rPr>
        <w:t>sz</w:t>
      </w:r>
      <w:r>
        <w:rPr>
          <w:spacing w:val="-2"/>
        </w:rPr>
        <w:t xml:space="preserve">letesebben, ha az </w:t>
      </w:r>
      <w:r>
        <w:rPr>
          <w:i/>
          <w:spacing w:val="-2"/>
        </w:rPr>
        <w:t>X</w:t>
      </w:r>
      <w:r>
        <w:rPr>
          <w:spacing w:val="-2"/>
        </w:rPr>
        <w:t xml:space="preserve"> adatbáziselemet tart</w:t>
      </w:r>
      <w:r w:rsidR="00156A58">
        <w:rPr>
          <w:spacing w:val="-2"/>
        </w:rPr>
        <w:t xml:space="preserve">almazó blokk nincs a </w:t>
      </w:r>
      <w:proofErr w:type="spellStart"/>
      <w:r w:rsidR="00156A58">
        <w:rPr>
          <w:spacing w:val="-2"/>
        </w:rPr>
        <w:t>memóriapuf</w:t>
      </w:r>
      <w:r>
        <w:rPr>
          <w:spacing w:val="-2"/>
        </w:rPr>
        <w:t>ferben</w:t>
      </w:r>
      <w:proofErr w:type="spellEnd"/>
      <w:r>
        <w:rPr>
          <w:spacing w:val="-2"/>
        </w:rPr>
        <w:t>, a</w:t>
      </w:r>
      <w:r>
        <w:rPr>
          <w:spacing w:val="-2"/>
        </w:rPr>
        <w:t>k</w:t>
      </w:r>
      <w:r>
        <w:rPr>
          <w:spacing w:val="-2"/>
        </w:rPr>
        <w:t xml:space="preserve">kor előbb végrehajtódik </w:t>
      </w:r>
      <w:r>
        <w:rPr>
          <w:rFonts w:ascii="LetterGotLEE" w:hAnsi="LetterGotLEE"/>
          <w:spacing w:val="-2"/>
          <w:sz w:val="18"/>
        </w:rPr>
        <w:t>INPUT(X)</w:t>
      </w:r>
      <w:r>
        <w:rPr>
          <w:spacing w:val="-2"/>
        </w:rPr>
        <w:t xml:space="preserve">. Ezután kapja meg a </w:t>
      </w:r>
      <w:r>
        <w:rPr>
          <w:i/>
          <w:spacing w:val="-2"/>
        </w:rPr>
        <w:t>t</w:t>
      </w:r>
      <w:r>
        <w:rPr>
          <w:spacing w:val="-2"/>
        </w:rPr>
        <w:t xml:space="preserve"> lokális változó az </w:t>
      </w:r>
      <w:r>
        <w:rPr>
          <w:i/>
          <w:spacing w:val="-2"/>
        </w:rPr>
        <w:t>X</w:t>
      </w:r>
      <w:r>
        <w:rPr>
          <w:spacing w:val="-2"/>
        </w:rPr>
        <w:t xml:space="preserve"> értékét.</w:t>
      </w:r>
    </w:p>
    <w:p w14:paraId="2CEE6FCA" w14:textId="77777777" w:rsidR="0042600D" w:rsidRDefault="0042600D" w:rsidP="0042600D">
      <w:pPr>
        <w:pStyle w:val="fsor"/>
        <w:spacing w:before="0"/>
      </w:pPr>
      <w:r>
        <w:t>3.</w:t>
      </w:r>
      <w:r>
        <w:rPr>
          <w:rFonts w:ascii="LetterGotLEE" w:hAnsi="LetterGotLEE"/>
          <w:sz w:val="18"/>
        </w:rPr>
        <w:tab/>
      </w:r>
      <w:r w:rsidRPr="00801A56">
        <w:rPr>
          <w:rFonts w:ascii="LetterGotLEE" w:hAnsi="LetterGotLEE"/>
          <w:sz w:val="18"/>
          <w:highlight w:val="yellow"/>
        </w:rPr>
        <w:t>WRITE</w:t>
      </w:r>
      <w:r w:rsidRPr="00801A56">
        <w:rPr>
          <w:rFonts w:ascii="LetterGotLEE" w:hAnsi="LetterGotLEE"/>
          <w:sz w:val="18"/>
          <w:highlight w:val="yellow"/>
        </w:rPr>
        <w:fldChar w:fldCharType="begin"/>
      </w:r>
      <w:r w:rsidRPr="00801A56">
        <w:rPr>
          <w:rFonts w:ascii="LetterGotLEE" w:hAnsi="LetterGotLEE"/>
          <w:sz w:val="18"/>
          <w:highlight w:val="yellow"/>
        </w:rPr>
        <w:instrText>e "WRITE akció"</w:instrText>
      </w:r>
      <w:r w:rsidRPr="00801A56">
        <w:rPr>
          <w:rFonts w:ascii="LetterGotLEE" w:hAnsi="LetterGotLEE"/>
          <w:sz w:val="18"/>
          <w:highlight w:val="yellow"/>
        </w:rPr>
        <w:fldChar w:fldCharType="end"/>
      </w:r>
      <w:r w:rsidRPr="00801A56">
        <w:rPr>
          <w:rFonts w:ascii="LetterGotLEE" w:hAnsi="LetterGotLEE"/>
          <w:sz w:val="18"/>
          <w:highlight w:val="yellow"/>
        </w:rPr>
        <w:t>(X,t)</w:t>
      </w:r>
      <w:r>
        <w:t xml:space="preserve">: A </w:t>
      </w:r>
      <w:r>
        <w:rPr>
          <w:i/>
        </w:rPr>
        <w:t>t</w:t>
      </w:r>
      <w:r>
        <w:t xml:space="preserve"> lokális változó tartalma az </w:t>
      </w:r>
      <w:r>
        <w:rPr>
          <w:i/>
        </w:rPr>
        <w:t>X</w:t>
      </w:r>
      <w:r>
        <w:t xml:space="preserve"> adatbáziselem </w:t>
      </w:r>
      <w:proofErr w:type="spellStart"/>
      <w:r>
        <w:t>memóriapufferbeli</w:t>
      </w:r>
      <w:proofErr w:type="spellEnd"/>
      <w:r>
        <w:t xml:space="preserve"> tartalmába másolódik. Részletesebben: ha az </w:t>
      </w:r>
      <w:r>
        <w:rPr>
          <w:i/>
        </w:rPr>
        <w:t>X</w:t>
      </w:r>
      <w:r>
        <w:t xml:space="preserve"> adatbáziselemet tartalmazó blokk nincs a </w:t>
      </w:r>
      <w:proofErr w:type="spellStart"/>
      <w:r>
        <w:t>memóriapufferben</w:t>
      </w:r>
      <w:proofErr w:type="spellEnd"/>
      <w:r>
        <w:t xml:space="preserve">, akkor előbb végrehajtódik </w:t>
      </w:r>
      <w:r>
        <w:rPr>
          <w:rFonts w:ascii="LetterGotLEE" w:hAnsi="LetterGotLEE"/>
          <w:sz w:val="18"/>
        </w:rPr>
        <w:t>INPUT(X)</w:t>
      </w:r>
      <w:r>
        <w:t>. Ezután másol</w:t>
      </w:r>
      <w:r>
        <w:t>ó</w:t>
      </w:r>
      <w:r>
        <w:t xml:space="preserve">dik át a </w:t>
      </w:r>
      <w:r>
        <w:rPr>
          <w:i/>
        </w:rPr>
        <w:t>t</w:t>
      </w:r>
      <w:r>
        <w:t xml:space="preserve"> lokális változó értéke a pufferbeli </w:t>
      </w:r>
      <w:r>
        <w:rPr>
          <w:i/>
        </w:rPr>
        <w:t>X</w:t>
      </w:r>
      <w:r>
        <w:t>-be.</w:t>
      </w:r>
    </w:p>
    <w:p w14:paraId="524360C3" w14:textId="77777777" w:rsidR="0042600D" w:rsidRDefault="0042600D" w:rsidP="0042600D">
      <w:pPr>
        <w:pStyle w:val="fsor"/>
        <w:spacing w:before="0"/>
      </w:pPr>
      <w:r>
        <w:t>4.</w:t>
      </w:r>
      <w:r>
        <w:rPr>
          <w:rFonts w:ascii="LetterGotLEE" w:hAnsi="LetterGotLEE"/>
          <w:sz w:val="18"/>
        </w:rPr>
        <w:tab/>
      </w:r>
      <w:r w:rsidRPr="00801A56">
        <w:rPr>
          <w:rFonts w:ascii="LetterGotLEE" w:hAnsi="LetterGotLEE"/>
          <w:sz w:val="18"/>
          <w:highlight w:val="yellow"/>
        </w:rPr>
        <w:t>OUTPUT(X)</w:t>
      </w:r>
      <w:r>
        <w:t xml:space="preserve">: Az </w:t>
      </w:r>
      <w:r>
        <w:rPr>
          <w:i/>
        </w:rPr>
        <w:t>X</w:t>
      </w:r>
      <w:r>
        <w:t xml:space="preserve"> adatbáziselemet tartalmazó puffer kimásolása lemezre.</w:t>
      </w:r>
    </w:p>
    <w:p w14:paraId="7DE40482" w14:textId="77777777" w:rsidR="0042600D" w:rsidRDefault="0042600D" w:rsidP="0042600D">
      <w:pPr>
        <w:spacing w:before="240"/>
      </w:pPr>
      <w:r>
        <w:t xml:space="preserve">A fenti műveleteknek addig van értelmük, amíg az adatbáziselemek elférnek egy-egy lemezblokkban és így egy-egy pufferben is. Ezt az esetet úgy is tekinthetjük, hogy az adatbáziselemek </w:t>
      </w:r>
      <w:r>
        <w:rPr>
          <w:i/>
        </w:rPr>
        <w:t>pontosan</w:t>
      </w:r>
      <w:r>
        <w:t xml:space="preserve"> a blokkok. Adatbáziselem lehet az adatbázis egy-egy sora is. Mindaddig így tekinthetjük, amíg a relációséma nem engedi meg nagyobb („ho</w:t>
      </w:r>
      <w:r>
        <w:t>s</w:t>
      </w:r>
      <w:r>
        <w:t xml:space="preserve">szabb”) sorok előfordulását, mint amennyi hely egy blokkban rendelkezésre áll. Ha az adatbáziselem több blokkot foglal el, akkor úgy is tekinthetjük, hogy az adatbáziselem minden blokkméretű része önmagában egy adatbáziselem. A naplózási mechanizmus, melyet arra használunk, hogy a tranzakció ne fejeződhessen be az </w:t>
      </w:r>
      <w:r>
        <w:rPr>
          <w:i/>
        </w:rPr>
        <w:t>X</w:t>
      </w:r>
      <w:r>
        <w:t xml:space="preserve"> kiír</w:t>
      </w:r>
      <w:r>
        <w:t>á</w:t>
      </w:r>
      <w:r>
        <w:t xml:space="preserve">sa nélkül, atomos; azaz </w:t>
      </w:r>
      <w:r>
        <w:rPr>
          <w:i/>
        </w:rPr>
        <w:t>X</w:t>
      </w:r>
      <w:r>
        <w:t xml:space="preserve"> összes blokkját vagy lemezre írja, vagy semmit sem ír ki. A tovább</w:t>
      </w:r>
      <w:r>
        <w:t>i</w:t>
      </w:r>
      <w:r>
        <w:t>akban a naplózási meggondolásokban úgy tekintjük, hogy:</w:t>
      </w:r>
    </w:p>
    <w:p w14:paraId="2F8DF01B" w14:textId="77777777" w:rsidR="0042600D" w:rsidRDefault="0042600D" w:rsidP="0042600D">
      <w:pPr>
        <w:pStyle w:val="fsor"/>
      </w:pPr>
      <w:r>
        <w:t>•</w:t>
      </w:r>
      <w:r>
        <w:tab/>
        <w:t>Az adatbáziselem nem nagyobb egy blokknál.</w:t>
      </w:r>
    </w:p>
    <w:p w14:paraId="7340FF77" w14:textId="77777777" w:rsidR="0042600D" w:rsidRDefault="0042600D" w:rsidP="0042600D"/>
    <w:p w14:paraId="1F957942" w14:textId="77777777" w:rsidR="0042600D" w:rsidRDefault="0042600D" w:rsidP="0042600D">
      <w:r>
        <w:t xml:space="preserve">Fontos figyelembe venni, hogy ezen parancsokat kiadó komponensek különbözőek. A </w:t>
      </w:r>
      <w:r w:rsidRPr="00801A56">
        <w:rPr>
          <w:rFonts w:ascii="LetterGotLEE" w:hAnsi="LetterGotLEE"/>
          <w:sz w:val="18"/>
          <w:highlight w:val="yellow"/>
        </w:rPr>
        <w:t>READ</w:t>
      </w:r>
      <w:r>
        <w:t xml:space="preserve"> és </w:t>
      </w:r>
      <w:r w:rsidRPr="00801A56">
        <w:rPr>
          <w:rFonts w:ascii="LetterGotLEE" w:hAnsi="LetterGotLEE"/>
          <w:sz w:val="18"/>
          <w:highlight w:val="yellow"/>
        </w:rPr>
        <w:t>WRITE</w:t>
      </w:r>
      <w:r>
        <w:t xml:space="preserve"> utasításokat a </w:t>
      </w:r>
      <w:r w:rsidRPr="00801A56">
        <w:rPr>
          <w:highlight w:val="yellow"/>
        </w:rPr>
        <w:t>tranzakciók</w:t>
      </w:r>
      <w:r>
        <w:t xml:space="preserve"> használják, az </w:t>
      </w:r>
      <w:r w:rsidRPr="00801A56">
        <w:rPr>
          <w:rFonts w:ascii="LetterGotLEE" w:hAnsi="LetterGotLEE"/>
          <w:sz w:val="18"/>
          <w:highlight w:val="yellow"/>
        </w:rPr>
        <w:t>INPUT</w:t>
      </w:r>
      <w:r>
        <w:t xml:space="preserve"> és </w:t>
      </w:r>
      <w:r w:rsidRPr="00801A56">
        <w:rPr>
          <w:rFonts w:ascii="LetterGotLEE" w:hAnsi="LetterGotLEE"/>
          <w:sz w:val="18"/>
          <w:highlight w:val="yellow"/>
        </w:rPr>
        <w:t>OUTPUT</w:t>
      </w:r>
      <w:r>
        <w:t xml:space="preserve"> utasításokat a </w:t>
      </w:r>
      <w:r w:rsidRPr="00801A56">
        <w:rPr>
          <w:highlight w:val="yellow"/>
        </w:rPr>
        <w:t>pufferkezelő</w:t>
      </w:r>
      <w:r>
        <w:t xml:space="preserve"> alkalmazza, ezen túl, ahogy már láttuk, bizonyos feltételek esetén az </w:t>
      </w:r>
      <w:r>
        <w:rPr>
          <w:rFonts w:ascii="LetterGotLEE" w:hAnsi="LetterGotLEE"/>
          <w:sz w:val="18"/>
        </w:rPr>
        <w:t>OUTPUT</w:t>
      </w:r>
      <w:r>
        <w:t xml:space="preserve"> utasítást a naplózási rendszer is használja.</w:t>
      </w:r>
    </w:p>
    <w:p w14:paraId="4459AAB9" w14:textId="77777777" w:rsidR="0042600D" w:rsidRDefault="0042600D" w:rsidP="0042600D">
      <w:pPr>
        <w:pStyle w:val="pelda"/>
      </w:pPr>
      <w:r>
        <w:rPr>
          <w:b/>
        </w:rPr>
        <w:t>8.2. példa:</w:t>
      </w:r>
      <w:r>
        <w:t xml:space="preserve"> Annak bemutatására, hogy a tranzakció mikor és hogyan használja a fenti alapműveleteket, tegyük fel, hogy az adatbázis két,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eleme tartalmának, az ada</w:t>
      </w:r>
      <w:r>
        <w:t>t</w:t>
      </w:r>
      <w:r>
        <w:t>bázis minden konzisztens állapotában meg kell egyeznie</w:t>
      </w:r>
      <w:r>
        <w:rPr>
          <w:rStyle w:val="Lbjegyzet-hivatkozs"/>
        </w:rPr>
        <w:footnoteReference w:id="1"/>
      </w:r>
      <w:r>
        <w:t>.</w:t>
      </w:r>
    </w:p>
    <w:p w14:paraId="3EF75B91" w14:textId="77777777" w:rsidR="0042600D" w:rsidRDefault="0042600D" w:rsidP="0042600D">
      <w:r>
        <w:t xml:space="preserve">A </w:t>
      </w:r>
      <w:r>
        <w:rPr>
          <w:i/>
        </w:rPr>
        <w:t>T</w:t>
      </w:r>
      <w:r>
        <w:t xml:space="preserve"> tranzakció tartalmazza a következő két lépést:</w:t>
      </w:r>
    </w:p>
    <w:p w14:paraId="328093C8" w14:textId="77777777" w:rsidR="0042600D" w:rsidRDefault="0042600D" w:rsidP="0042600D">
      <w:pPr>
        <w:pStyle w:val="gepi"/>
        <w:spacing w:before="200"/>
      </w:pPr>
      <w:r>
        <w:lastRenderedPageBreak/>
        <w:t>A := A*2;</w:t>
      </w:r>
    </w:p>
    <w:p w14:paraId="09B22BC9" w14:textId="77777777" w:rsidR="0042600D" w:rsidRDefault="0042600D" w:rsidP="0042600D">
      <w:pPr>
        <w:pStyle w:val="gepi"/>
      </w:pPr>
      <w:r>
        <w:t>B := B*2;</w:t>
      </w:r>
    </w:p>
    <w:p w14:paraId="1346867A" w14:textId="77777777" w:rsidR="0042600D" w:rsidRDefault="0042600D" w:rsidP="0042600D">
      <w:pPr>
        <w:spacing w:before="200"/>
      </w:pPr>
      <w:r>
        <w:t>Vegyük figyelembe, hogyha a tranzakcióra az egyetlen konzisztencia</w:t>
      </w:r>
      <w:r w:rsidR="003F2B06">
        <w:t xml:space="preserve"> </w:t>
      </w:r>
      <w:r>
        <w:t>elvárás az</w:t>
      </w:r>
      <w:r>
        <w:br/>
      </w:r>
      <w:r>
        <w:rPr>
          <w:i/>
        </w:rPr>
        <w:t>A = B</w:t>
      </w:r>
      <w:r>
        <w:t xml:space="preserve">, továbbá ha </w:t>
      </w:r>
      <w:r>
        <w:rPr>
          <w:i/>
        </w:rPr>
        <w:t>T</w:t>
      </w:r>
      <w:r>
        <w:t xml:space="preserve"> korrekt adatbázis-állapotban indul, és tevékenységét rendszerhiba, valamint a párhuzamosan működő tranzakciókkal való kölcsönhatás nélkül be tu</w:t>
      </w:r>
      <w:r>
        <w:t>d</w:t>
      </w:r>
      <w:r>
        <w:t xml:space="preserve">ja fejezni, akkor az adatbázis befejezéskori állapotának is konzisztensnek kell lennie. Ekkor </w:t>
      </w:r>
      <w:r>
        <w:rPr>
          <w:i/>
        </w:rPr>
        <w:t>T</w:t>
      </w:r>
      <w:r>
        <w:t xml:space="preserve"> megduplázva két azonos tartalmú elem értékét, kap két új, azonos értékű el</w:t>
      </w:r>
      <w:r>
        <w:t>e</w:t>
      </w:r>
      <w:r>
        <w:t>met.</w:t>
      </w:r>
    </w:p>
    <w:p w14:paraId="13A1C29A" w14:textId="77777777" w:rsidR="0042600D" w:rsidRDefault="0042600D" w:rsidP="0042600D">
      <w:r>
        <w:rPr>
          <w:i/>
        </w:rPr>
        <w:t>T</w:t>
      </w:r>
      <w:r>
        <w:t xml:space="preserve"> végrehajtása maga után vonja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lemezről való beolvasását, az aritmetikai műveletek a </w:t>
      </w:r>
      <w:r>
        <w:rPr>
          <w:i/>
        </w:rPr>
        <w:t>T</w:t>
      </w:r>
      <w:r>
        <w:t xml:space="preserve"> lokális memória változóiban kerülnek végrehajtásra, végül </w:t>
      </w:r>
      <w:r>
        <w:rPr>
          <w:i/>
        </w:rPr>
        <w:t xml:space="preserve">A </w:t>
      </w:r>
      <w:r>
        <w:t xml:space="preserve">és </w:t>
      </w:r>
      <w:r>
        <w:rPr>
          <w:i/>
        </w:rPr>
        <w:t>B</w:t>
      </w:r>
      <w:r>
        <w:t xml:space="preserve"> új értékei visszaírásra kerülnek a puffereikbe. </w:t>
      </w:r>
      <w:r>
        <w:rPr>
          <w:i/>
        </w:rPr>
        <w:t>T</w:t>
      </w:r>
      <w:r>
        <w:t>-t hat lényeges lépésből állónak tekinthetjük:</w:t>
      </w:r>
    </w:p>
    <w:p w14:paraId="3FB33DFA" w14:textId="77777777" w:rsidR="0042600D" w:rsidRDefault="0042600D" w:rsidP="0042600D">
      <w:pPr>
        <w:pStyle w:val="gepi"/>
      </w:pPr>
    </w:p>
    <w:p w14:paraId="5A5D63DB" w14:textId="77777777" w:rsidR="0042600D" w:rsidRDefault="0042600D" w:rsidP="0042600D">
      <w:pPr>
        <w:pStyle w:val="gepi"/>
      </w:pPr>
      <w:r>
        <w:t>READ(A,t);</w:t>
      </w:r>
      <w:r>
        <w:tab/>
        <w:t>t := t*2;</w:t>
      </w:r>
      <w:r>
        <w:tab/>
        <w:t>WRITE(A,t);</w:t>
      </w:r>
    </w:p>
    <w:p w14:paraId="4BCC9FB3" w14:textId="77777777" w:rsidR="0042600D" w:rsidRDefault="0042600D" w:rsidP="0042600D">
      <w:pPr>
        <w:pStyle w:val="gepi"/>
      </w:pPr>
      <w:r>
        <w:t>READ(B,t);</w:t>
      </w:r>
      <w:r>
        <w:tab/>
        <w:t>t := t*2;</w:t>
      </w:r>
      <w:r>
        <w:tab/>
        <w:t>WRITE(B,t);</w:t>
      </w:r>
    </w:p>
    <w:p w14:paraId="04177963" w14:textId="77777777" w:rsidR="0042600D" w:rsidRDefault="0042600D" w:rsidP="0042600D"/>
    <w:p w14:paraId="139878E6" w14:textId="77777777" w:rsidR="0042600D" w:rsidRDefault="0042600D" w:rsidP="0042600D">
      <w:pPr>
        <w:rPr>
          <w:spacing w:val="-2"/>
        </w:rPr>
      </w:pPr>
      <w:r>
        <w:rPr>
          <w:spacing w:val="-2"/>
        </w:rPr>
        <w:t xml:space="preserve">Ehhez még hozzáadódik az, hogy a pufferkezelő önállóan végrehajt </w:t>
      </w:r>
      <w:r>
        <w:rPr>
          <w:rFonts w:ascii="LetterGotLEE" w:hAnsi="LetterGotLEE"/>
          <w:spacing w:val="-2"/>
          <w:sz w:val="18"/>
        </w:rPr>
        <w:t>OUTPUT</w:t>
      </w:r>
      <w:r>
        <w:rPr>
          <w:spacing w:val="-2"/>
        </w:rPr>
        <w:t xml:space="preserve"> lépéseket a pufferek tartalmának lemezre történő visszaírása végett. A 8.2. ábra a </w:t>
      </w:r>
      <w:r>
        <w:rPr>
          <w:i/>
          <w:spacing w:val="-2"/>
        </w:rPr>
        <w:t>T</w:t>
      </w:r>
      <w:r>
        <w:rPr>
          <w:spacing w:val="-2"/>
        </w:rPr>
        <w:t xml:space="preserve"> elemi lép</w:t>
      </w:r>
      <w:r>
        <w:rPr>
          <w:spacing w:val="-2"/>
        </w:rPr>
        <w:t>é</w:t>
      </w:r>
      <w:r>
        <w:rPr>
          <w:spacing w:val="-2"/>
        </w:rPr>
        <w:t xml:space="preserve">seit és az őket követő, a pufferkezelő által végrehajtott </w:t>
      </w:r>
      <w:r>
        <w:rPr>
          <w:rFonts w:ascii="LetterGotLEE" w:hAnsi="LetterGotLEE"/>
          <w:spacing w:val="-2"/>
          <w:sz w:val="18"/>
        </w:rPr>
        <w:t>OUTPUT</w:t>
      </w:r>
      <w:r>
        <w:rPr>
          <w:spacing w:val="-2"/>
        </w:rPr>
        <w:t xml:space="preserve"> utasításokat szemlélteti. Tegyük fel, hogy kezdetben </w:t>
      </w:r>
      <w:r>
        <w:rPr>
          <w:i/>
          <w:spacing w:val="-2"/>
        </w:rPr>
        <w:t xml:space="preserve">A = B = </w:t>
      </w:r>
      <w:r>
        <w:rPr>
          <w:spacing w:val="-2"/>
        </w:rPr>
        <w:t xml:space="preserve">8. Az </w:t>
      </w:r>
      <w:r>
        <w:rPr>
          <w:i/>
          <w:spacing w:val="-2"/>
        </w:rPr>
        <w:t>A</w:t>
      </w:r>
      <w:r>
        <w:rPr>
          <w:spacing w:val="-2"/>
        </w:rPr>
        <w:t xml:space="preserve"> és </w:t>
      </w:r>
      <w:r>
        <w:rPr>
          <w:i/>
          <w:spacing w:val="-2"/>
        </w:rPr>
        <w:t>B</w:t>
      </w:r>
      <w:r>
        <w:rPr>
          <w:spacing w:val="-2"/>
        </w:rPr>
        <w:t xml:space="preserve"> pufferbeli és lemezen tárolt értékei és a </w:t>
      </w:r>
      <w:r>
        <w:rPr>
          <w:i/>
          <w:spacing w:val="-2"/>
        </w:rPr>
        <w:t>T</w:t>
      </w:r>
      <w:r>
        <w:rPr>
          <w:spacing w:val="-2"/>
        </w:rPr>
        <w:t xml:space="preserve"> tranzakció </w:t>
      </w:r>
      <w:r>
        <w:rPr>
          <w:i/>
          <w:spacing w:val="-2"/>
        </w:rPr>
        <w:t>t</w:t>
      </w:r>
      <w:r>
        <w:rPr>
          <w:spacing w:val="-2"/>
        </w:rPr>
        <w:t xml:space="preserve"> lokális változójána</w:t>
      </w:r>
      <w:r w:rsidR="00156A58">
        <w:rPr>
          <w:spacing w:val="-2"/>
        </w:rPr>
        <w:t>k értékei lépésenként a követke</w:t>
      </w:r>
      <w:r>
        <w:rPr>
          <w:spacing w:val="-2"/>
        </w:rPr>
        <w:t>zők:</w:t>
      </w:r>
    </w:p>
    <w:p w14:paraId="5B62D04B" w14:textId="77777777" w:rsidR="0042600D" w:rsidRDefault="0042600D" w:rsidP="0042600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51"/>
        <w:gridCol w:w="850"/>
        <w:gridCol w:w="851"/>
        <w:gridCol w:w="1276"/>
      </w:tblGrid>
      <w:tr w:rsidR="0042600D" w14:paraId="1251E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DDA4AF" w14:textId="77777777" w:rsidR="0042600D" w:rsidRDefault="0042600D" w:rsidP="0042600D">
            <w:pPr>
              <w:pStyle w:val="tfej"/>
            </w:pPr>
            <w:r>
              <w:t>Tevékenység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03CCCD" w14:textId="77777777" w:rsidR="0042600D" w:rsidRDefault="0042600D" w:rsidP="0042600D">
            <w:pPr>
              <w:pStyle w:val="tfej"/>
            </w:pPr>
            <w:r>
              <w:t>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D4BECC" w14:textId="77777777" w:rsidR="0042600D" w:rsidRDefault="0042600D" w:rsidP="0042600D">
            <w:pPr>
              <w:pStyle w:val="tfej"/>
              <w:rPr>
                <w:i w:val="0"/>
              </w:rPr>
            </w:pPr>
            <w:proofErr w:type="spellStart"/>
            <w:r>
              <w:t>Mem</w:t>
            </w:r>
            <w:proofErr w:type="spellEnd"/>
            <w:r>
              <w:t xml:space="preserve"> </w:t>
            </w:r>
            <w:r>
              <w:rPr>
                <w:i w:val="0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A86849" w14:textId="77777777" w:rsidR="0042600D" w:rsidRDefault="0042600D" w:rsidP="0042600D">
            <w:pPr>
              <w:pStyle w:val="tfej"/>
              <w:rPr>
                <w:i w:val="0"/>
              </w:rPr>
            </w:pPr>
            <w:proofErr w:type="spellStart"/>
            <w:r>
              <w:t>Mem</w:t>
            </w:r>
            <w:proofErr w:type="spellEnd"/>
            <w:r>
              <w:t xml:space="preserve"> </w:t>
            </w:r>
            <w:r>
              <w:rPr>
                <w:i w:val="0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579A3" w14:textId="77777777" w:rsidR="0042600D" w:rsidRDefault="0042600D" w:rsidP="0042600D">
            <w:pPr>
              <w:pStyle w:val="tfej"/>
              <w:rPr>
                <w:i w:val="0"/>
              </w:rPr>
            </w:pPr>
            <w:r>
              <w:t xml:space="preserve">Lemez </w:t>
            </w:r>
            <w:r>
              <w:rPr>
                <w:i w:val="0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080FC6" w14:textId="77777777" w:rsidR="0042600D" w:rsidRDefault="0042600D" w:rsidP="0042600D">
            <w:pPr>
              <w:pStyle w:val="tfej"/>
              <w:rPr>
                <w:i w:val="0"/>
              </w:rPr>
            </w:pPr>
            <w:r>
              <w:t xml:space="preserve">Lemez </w:t>
            </w:r>
            <w:r>
              <w:rPr>
                <w:i w:val="0"/>
              </w:rPr>
              <w:t>B</w:t>
            </w:r>
          </w:p>
        </w:tc>
      </w:tr>
      <w:tr w:rsidR="0042600D" w14:paraId="3E2E5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85AB7C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READ(A,t)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10A856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16C17D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098E83" w14:textId="77777777" w:rsidR="0042600D" w:rsidRDefault="0042600D" w:rsidP="0042600D">
            <w:pPr>
              <w:pStyle w:val="ttex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ACF09D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977348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5EEFA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B7C23D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t*2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A34C52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B39512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6A9E9F" w14:textId="77777777" w:rsidR="0042600D" w:rsidRDefault="0042600D" w:rsidP="0042600D">
            <w:pPr>
              <w:pStyle w:val="ttex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53ED64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C6CE93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270BF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082633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WRITE(A,t)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AE373C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9E84A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14382" w14:textId="77777777" w:rsidR="0042600D" w:rsidRDefault="0042600D" w:rsidP="0042600D">
            <w:pPr>
              <w:pStyle w:val="ttex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A7D041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ED3B63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1B553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DF31DF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READ(B,t)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8F6CD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70F88E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FC3083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DDCBA8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DAE377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270B9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B5EEC7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t := t*2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96110C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18E183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9024A6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DAC7C7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2EDE1B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6252F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A88917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WRITE(B,t)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FFB8A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81C236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47832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E331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AF9E26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612E0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1B2119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OUTPUT(A)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18A29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AE04B6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78E57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1C5960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9D9370" w14:textId="77777777" w:rsidR="0042600D" w:rsidRDefault="0042600D" w:rsidP="0042600D">
            <w:pPr>
              <w:pStyle w:val="ttext"/>
              <w:jc w:val="center"/>
            </w:pPr>
            <w:r>
              <w:rPr>
                <w:color w:val="FFFFFF"/>
              </w:rPr>
              <w:t>1</w:t>
            </w:r>
            <w:r>
              <w:t>8</w:t>
            </w:r>
          </w:p>
        </w:tc>
      </w:tr>
      <w:tr w:rsidR="0042600D" w14:paraId="230D7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FC940B" w14:textId="77777777" w:rsidR="0042600D" w:rsidRDefault="0042600D" w:rsidP="0042600D">
            <w:pPr>
              <w:pStyle w:val="ttext"/>
              <w:ind w:left="0"/>
              <w:rPr>
                <w:rFonts w:ascii="LetterGotLEE" w:hAnsi="LetterGotLEE"/>
                <w:sz w:val="16"/>
              </w:rPr>
            </w:pPr>
            <w:r>
              <w:rPr>
                <w:rFonts w:ascii="LetterGotLEE" w:hAnsi="LetterGotLEE"/>
                <w:sz w:val="16"/>
              </w:rPr>
              <w:t>OUTPUT(B)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C840D7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6C3F97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D04246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B36AB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BD23A5" w14:textId="77777777" w:rsidR="0042600D" w:rsidRDefault="0042600D" w:rsidP="0042600D">
            <w:pPr>
              <w:pStyle w:val="ttext"/>
              <w:jc w:val="center"/>
            </w:pPr>
            <w:r>
              <w:t>16</w:t>
            </w:r>
          </w:p>
        </w:tc>
      </w:tr>
    </w:tbl>
    <w:p w14:paraId="566F821D" w14:textId="77777777" w:rsidR="0042600D" w:rsidRDefault="0042600D" w:rsidP="0042600D">
      <w:pPr>
        <w:pStyle w:val="abracm"/>
      </w:pPr>
      <w:r>
        <w:rPr>
          <w:b/>
          <w:i w:val="0"/>
        </w:rPr>
        <w:t>8.2. ábra.</w:t>
      </w:r>
      <w:r>
        <w:t xml:space="preserve"> </w:t>
      </w:r>
      <w:r w:rsidRPr="00801A56">
        <w:rPr>
          <w:highlight w:val="yellow"/>
        </w:rPr>
        <w:t>A tranzakció lépései, és hatásuk</w:t>
      </w:r>
      <w:r>
        <w:t xml:space="preserve"> a memóriában és a lem</w:t>
      </w:r>
      <w:r>
        <w:t>e</w:t>
      </w:r>
      <w:r>
        <w:t>zen</w:t>
      </w:r>
    </w:p>
    <w:p w14:paraId="0EDF82C8" w14:textId="77777777" w:rsidR="0042600D" w:rsidRDefault="0042600D" w:rsidP="0042600D">
      <w:r>
        <w:rPr>
          <w:i/>
        </w:rPr>
        <w:t>T</w:t>
      </w:r>
      <w:r>
        <w:t xml:space="preserve"> első lépésében beolvassa </w:t>
      </w:r>
      <w:r>
        <w:rPr>
          <w:i/>
        </w:rPr>
        <w:t>A</w:t>
      </w:r>
      <w:r>
        <w:t xml:space="preserve">-t, mely igény a </w:t>
      </w:r>
      <w:proofErr w:type="spellStart"/>
      <w:r>
        <w:t>pufferkezelőben</w:t>
      </w:r>
      <w:proofErr w:type="spellEnd"/>
      <w:r>
        <w:t xml:space="preserve"> kiváltja az </w:t>
      </w:r>
      <w:r>
        <w:rPr>
          <w:rFonts w:ascii="LetterGotLEE" w:hAnsi="LetterGotLEE"/>
          <w:sz w:val="18"/>
        </w:rPr>
        <w:t>INPUT(A)</w:t>
      </w:r>
      <w:r>
        <w:t xml:space="preserve"> utasítást, ha </w:t>
      </w:r>
      <w:r>
        <w:rPr>
          <w:i/>
        </w:rPr>
        <w:t>A</w:t>
      </w:r>
      <w:r>
        <w:t xml:space="preserve"> még nincs a pufferben. </w:t>
      </w:r>
      <w:r>
        <w:rPr>
          <w:i/>
        </w:rPr>
        <w:t>A</w:t>
      </w:r>
      <w:r>
        <w:t xml:space="preserve"> értéke a </w:t>
      </w:r>
      <w:r>
        <w:rPr>
          <w:rFonts w:ascii="LetterGotLEE" w:hAnsi="LetterGotLEE"/>
          <w:sz w:val="18"/>
        </w:rPr>
        <w:t>READ</w:t>
      </w:r>
      <w:r>
        <w:t xml:space="preserve"> utasítás hatására a </w:t>
      </w:r>
      <w:r>
        <w:rPr>
          <w:i/>
        </w:rPr>
        <w:t>T</w:t>
      </w:r>
      <w:r>
        <w:t xml:space="preserve"> tranzakció memóriaterületére a </w:t>
      </w:r>
      <w:r>
        <w:rPr>
          <w:i/>
        </w:rPr>
        <w:t>t</w:t>
      </w:r>
      <w:r>
        <w:t xml:space="preserve"> változóba is bemásolódik. A következő lépés megduplázza </w:t>
      </w:r>
      <w:r>
        <w:rPr>
          <w:i/>
        </w:rPr>
        <w:t>t</w:t>
      </w:r>
      <w:r>
        <w:t xml:space="preserve"> tartalmát, ennek nincs hatása sem </w:t>
      </w:r>
      <w:r>
        <w:rPr>
          <w:i/>
        </w:rPr>
        <w:t>A</w:t>
      </w:r>
      <w:r>
        <w:t xml:space="preserve"> pufferbeli, sem </w:t>
      </w:r>
      <w:r>
        <w:rPr>
          <w:i/>
        </w:rPr>
        <w:t>A</w:t>
      </w:r>
      <w:r>
        <w:t xml:space="preserve"> lemezen tárolt érték</w:t>
      </w:r>
      <w:r>
        <w:t>é</w:t>
      </w:r>
      <w:r>
        <w:t xml:space="preserve">re. A harmadik lépés írja </w:t>
      </w:r>
      <w:r>
        <w:rPr>
          <w:i/>
        </w:rPr>
        <w:t>t</w:t>
      </w:r>
      <w:r>
        <w:t xml:space="preserve">-t </w:t>
      </w:r>
      <w:r>
        <w:rPr>
          <w:i/>
        </w:rPr>
        <w:t>A</w:t>
      </w:r>
      <w:r>
        <w:t xml:space="preserve"> pufferébe, s ennek nincs hatása </w:t>
      </w:r>
      <w:r>
        <w:rPr>
          <w:i/>
        </w:rPr>
        <w:t>A</w:t>
      </w:r>
      <w:r>
        <w:t xml:space="preserve"> lemezen tárolt érték</w:t>
      </w:r>
      <w:r>
        <w:t>é</w:t>
      </w:r>
      <w:r>
        <w:t xml:space="preserve">re. A következő három lépés ugyanez, csak </w:t>
      </w:r>
      <w:r>
        <w:rPr>
          <w:i/>
        </w:rPr>
        <w:t>B</w:t>
      </w:r>
      <w:r>
        <w:t>-re vonatkozóan. Végül az utolsó két l</w:t>
      </w:r>
      <w:r>
        <w:t>é</w:t>
      </w:r>
      <w:r>
        <w:t xml:space="preserve">pésben másolódik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lemezre.</w:t>
      </w:r>
    </w:p>
    <w:p w14:paraId="2FA8E9E1" w14:textId="77777777" w:rsidR="0042600D" w:rsidRDefault="0042600D" w:rsidP="0042600D">
      <w:r>
        <w:t xml:space="preserve">Figyeljük meg, hogy ezen lépések összességének végrehajtása alatt az adatbázis konzisztenciája megőrződik. Ha </w:t>
      </w:r>
      <w:r>
        <w:rPr>
          <w:rFonts w:ascii="LetterGotLEE" w:hAnsi="LetterGotLEE"/>
          <w:sz w:val="18"/>
        </w:rPr>
        <w:t>OUTPUT(A)</w:t>
      </w:r>
      <w:r>
        <w:t xml:space="preserve"> végrehajtása előtt rendszerhiba fordul elő, akkor ennek nincs hatása a lemezen tárolt adatbázisra, az még olyan, mintha </w:t>
      </w:r>
      <w:r>
        <w:rPr>
          <w:i/>
        </w:rPr>
        <w:t>T</w:t>
      </w:r>
      <w:r>
        <w:t xml:space="preserve"> egyáltalán nem is működött volna, s így a konzisztencia megőrződött. Ha rendszerh</w:t>
      </w:r>
      <w:r>
        <w:t>i</w:t>
      </w:r>
      <w:r>
        <w:t xml:space="preserve">ba áll elő </w:t>
      </w:r>
      <w:r>
        <w:rPr>
          <w:rFonts w:ascii="LetterGotLEE" w:hAnsi="LetterGotLEE"/>
          <w:sz w:val="18"/>
        </w:rPr>
        <w:t>OUTPUT(A)</w:t>
      </w:r>
      <w:r>
        <w:t xml:space="preserve"> végrehajtása után, de még </w:t>
      </w:r>
      <w:r>
        <w:rPr>
          <w:rFonts w:ascii="LetterGotLEE" w:hAnsi="LetterGotLEE"/>
          <w:sz w:val="18"/>
        </w:rPr>
        <w:t>OUTPUT(B)</w:t>
      </w:r>
      <w:r>
        <w:t xml:space="preserve"> végrehajtása előtt, akkor az adatbázis inkonzisztens állapotban marad. Azt nem tudjuk megelőzni, hogy ilyen szituáció soha elő ne forduljon, de lépéseket tehetünk azért, hogy amikor mégis beköve</w:t>
      </w:r>
      <w:r>
        <w:t>t</w:t>
      </w:r>
      <w:r>
        <w:t xml:space="preserve">kezik, akkor a problémát elháríthassuk – vagy </w:t>
      </w:r>
      <w:r>
        <w:rPr>
          <w:i/>
        </w:rPr>
        <w:t>A</w:t>
      </w:r>
      <w:r>
        <w:t xml:space="preserve"> és </w:t>
      </w:r>
      <w:r>
        <w:rPr>
          <w:i/>
        </w:rPr>
        <w:t>B</w:t>
      </w:r>
      <w:r>
        <w:t xml:space="preserve"> értékének 8-ra való visszaállít</w:t>
      </w:r>
      <w:r>
        <w:t>á</w:t>
      </w:r>
      <w:r>
        <w:t>sával vagy mindkettő 16-ra növelésével. </w:t>
      </w:r>
    </w:p>
    <w:p w14:paraId="7E21318E" w14:textId="77777777" w:rsidR="00C4420F" w:rsidRDefault="00C4420F"/>
    <w:sectPr w:rsidR="00C4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A56C" w14:textId="77777777" w:rsidR="008D504D" w:rsidRDefault="008D504D">
      <w:pPr>
        <w:spacing w:line="240" w:lineRule="auto"/>
      </w:pPr>
      <w:r>
        <w:separator/>
      </w:r>
    </w:p>
  </w:endnote>
  <w:endnote w:type="continuationSeparator" w:id="0">
    <w:p w14:paraId="35D8011E" w14:textId="77777777" w:rsidR="008D504D" w:rsidRDefault="008D5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etterGotLE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D8BD" w14:textId="77777777" w:rsidR="008D504D" w:rsidRDefault="008D504D">
      <w:pPr>
        <w:spacing w:line="240" w:lineRule="auto"/>
      </w:pPr>
      <w:r>
        <w:separator/>
      </w:r>
    </w:p>
  </w:footnote>
  <w:footnote w:type="continuationSeparator" w:id="0">
    <w:p w14:paraId="40B371F9" w14:textId="77777777" w:rsidR="008D504D" w:rsidRDefault="008D504D">
      <w:pPr>
        <w:spacing w:line="240" w:lineRule="auto"/>
      </w:pPr>
      <w:r>
        <w:continuationSeparator/>
      </w:r>
    </w:p>
  </w:footnote>
  <w:footnote w:id="1">
    <w:p w14:paraId="28DDC3EE" w14:textId="77777777" w:rsidR="003F2B06" w:rsidRDefault="003F2B06" w:rsidP="0042600D">
      <w:pPr>
        <w:pStyle w:val="Lbjegyzetszveg"/>
      </w:pPr>
      <w:r>
        <w:rPr>
          <w:rStyle w:val="Lbjegyzet-hivatkozs"/>
          <w:sz w:val="14"/>
        </w:rPr>
        <w:footnoteRef/>
      </w:r>
      <w:r>
        <w:t xml:space="preserve"> Természetesen feltehető a kérdés, hogy miért használnánk két különböző elemet, melyek tartalma mindig megegyezik ahelyett, hogy egyetlen elemet alkalmaznánk. Mindazonáltal, ennek az egyszerű numerikus megszorításnak a teljesítése jól jellemez nagyon sok valóságos me</w:t>
      </w:r>
      <w:r>
        <w:t>g</w:t>
      </w:r>
      <w:r>
        <w:t>szorítást, mint például amikor előírják, hogy a repülőn az eladott helyek száma 10%-nál többel nem haladhatja meg a fedélzeten lévő ülések számát, vagy amikor előírják, hogy a bank kölcs</w:t>
      </w:r>
      <w:r>
        <w:t>ö</w:t>
      </w:r>
      <w:r>
        <w:t xml:space="preserve">nei összegének meg kell egyeznie a bank követelései összegével.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CB"/>
    <w:rsid w:val="00156A58"/>
    <w:rsid w:val="00202A36"/>
    <w:rsid w:val="003F2B06"/>
    <w:rsid w:val="0042600D"/>
    <w:rsid w:val="0047470C"/>
    <w:rsid w:val="00801A56"/>
    <w:rsid w:val="008D504D"/>
    <w:rsid w:val="00A358CB"/>
    <w:rsid w:val="00AB0A25"/>
    <w:rsid w:val="00C4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2785D"/>
  <w15:chartTrackingRefBased/>
  <w15:docId w15:val="{81B83BBD-E61D-4AD9-8F2D-3972FF8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600D"/>
    <w:pPr>
      <w:widowControl w:val="0"/>
      <w:spacing w:line="240" w:lineRule="exact"/>
      <w:ind w:firstLine="238"/>
      <w:jc w:val="both"/>
    </w:pPr>
    <w:rPr>
      <w:rFonts w:ascii="HTimes" w:hAnsi="HTimes"/>
    </w:rPr>
  </w:style>
  <w:style w:type="paragraph" w:styleId="Cmsor3">
    <w:name w:val="heading 3"/>
    <w:basedOn w:val="Norml"/>
    <w:next w:val="Norml"/>
    <w:qFormat/>
    <w:rsid w:val="0042600D"/>
    <w:pPr>
      <w:keepNext/>
      <w:tabs>
        <w:tab w:val="left" w:pos="960"/>
      </w:tabs>
      <w:suppressAutoHyphens/>
      <w:spacing w:before="480" w:after="240"/>
      <w:ind w:firstLine="0"/>
      <w:jc w:val="left"/>
      <w:outlineLvl w:val="2"/>
    </w:pPr>
    <w:rPr>
      <w:b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42600D"/>
    <w:pPr>
      <w:spacing w:line="220" w:lineRule="exact"/>
    </w:pPr>
    <w:rPr>
      <w:sz w:val="18"/>
    </w:rPr>
  </w:style>
  <w:style w:type="character" w:styleId="Lbjegyzet-hivatkozs">
    <w:name w:val="footnote reference"/>
    <w:semiHidden/>
    <w:rsid w:val="0042600D"/>
    <w:rPr>
      <w:position w:val="6"/>
      <w:sz w:val="16"/>
    </w:rPr>
  </w:style>
  <w:style w:type="paragraph" w:customStyle="1" w:styleId="tfej">
    <w:name w:val="tfej"/>
    <w:basedOn w:val="Norml"/>
    <w:rsid w:val="0042600D"/>
    <w:pPr>
      <w:spacing w:after="120" w:line="220" w:lineRule="exact"/>
      <w:ind w:firstLine="0"/>
      <w:jc w:val="center"/>
    </w:pPr>
    <w:rPr>
      <w:i/>
      <w:sz w:val="18"/>
    </w:rPr>
  </w:style>
  <w:style w:type="paragraph" w:customStyle="1" w:styleId="ttext">
    <w:name w:val="ttext"/>
    <w:basedOn w:val="Norml"/>
    <w:rsid w:val="0042600D"/>
    <w:pPr>
      <w:spacing w:line="220" w:lineRule="exact"/>
      <w:ind w:left="57" w:firstLine="0"/>
      <w:jc w:val="left"/>
    </w:pPr>
    <w:rPr>
      <w:sz w:val="18"/>
    </w:rPr>
  </w:style>
  <w:style w:type="paragraph" w:customStyle="1" w:styleId="bordered">
    <w:name w:val="bordered"/>
    <w:basedOn w:val="Norml"/>
    <w:rsid w:val="0042600D"/>
    <w:pPr>
      <w:framePr w:w="6960" w:wrap="around" w:vAnchor="text" w:hAnchor="text" w:xAlign="center" w:y="1"/>
      <w:pBdr>
        <w:top w:val="single" w:sz="6" w:space="11" w:color="auto"/>
        <w:left w:val="single" w:sz="6" w:space="11" w:color="auto"/>
        <w:bottom w:val="single" w:sz="6" w:space="11" w:color="auto"/>
        <w:right w:val="single" w:sz="6" w:space="11" w:color="auto"/>
      </w:pBdr>
      <w:ind w:left="240" w:right="240"/>
    </w:pPr>
  </w:style>
  <w:style w:type="paragraph" w:customStyle="1" w:styleId="abracm">
    <w:name w:val="abracím"/>
    <w:basedOn w:val="Norml"/>
    <w:rsid w:val="0042600D"/>
    <w:pPr>
      <w:suppressAutoHyphens/>
      <w:spacing w:before="120" w:after="240" w:line="220" w:lineRule="exact"/>
      <w:ind w:firstLine="0"/>
      <w:jc w:val="left"/>
    </w:pPr>
    <w:rPr>
      <w:i/>
      <w:sz w:val="18"/>
    </w:rPr>
  </w:style>
  <w:style w:type="paragraph" w:customStyle="1" w:styleId="fsor">
    <w:name w:val="fsor"/>
    <w:basedOn w:val="Norml"/>
    <w:rsid w:val="0042600D"/>
    <w:pPr>
      <w:spacing w:before="240"/>
      <w:ind w:left="238" w:hanging="238"/>
    </w:pPr>
  </w:style>
  <w:style w:type="paragraph" w:customStyle="1" w:styleId="gepi">
    <w:name w:val="gepi"/>
    <w:basedOn w:val="Norml"/>
    <w:rsid w:val="004260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ind w:firstLine="0"/>
      <w:jc w:val="left"/>
    </w:pPr>
    <w:rPr>
      <w:rFonts w:ascii="LetterGotLEE" w:hAnsi="LetterGotLEE"/>
      <w:sz w:val="18"/>
    </w:rPr>
  </w:style>
  <w:style w:type="paragraph" w:customStyle="1" w:styleId="pelda">
    <w:name w:val="pelda"/>
    <w:basedOn w:val="Norml"/>
    <w:rsid w:val="0042600D"/>
    <w:pPr>
      <w:spacing w:before="24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</vt:lpstr>
    </vt:vector>
  </TitlesOfParts>
  <Company>ELTE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Nikovits Tibor</dc:creator>
  <cp:keywords/>
  <dc:description/>
  <cp:lastModifiedBy>Nikovits Tibor</cp:lastModifiedBy>
  <cp:revision>2</cp:revision>
  <dcterms:created xsi:type="dcterms:W3CDTF">2022-04-21T22:52:00Z</dcterms:created>
  <dcterms:modified xsi:type="dcterms:W3CDTF">2022-04-21T22:52:00Z</dcterms:modified>
</cp:coreProperties>
</file>